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38" w:rsidRDefault="00635F38">
      <w:pPr>
        <w:pStyle w:val="ConsPlusNormal"/>
      </w:pPr>
      <w:r>
        <w:rPr>
          <w:b/>
          <w:bCs/>
        </w:rPr>
        <w:t>Источник публикации</w:t>
      </w:r>
    </w:p>
    <w:p w:rsidR="00635F38" w:rsidRDefault="00635F38">
      <w:pPr>
        <w:pStyle w:val="ConsPlusNormal"/>
        <w:jc w:val="both"/>
      </w:pPr>
      <w:r>
        <w:t>В данном виде документ опубликован не был.</w:t>
      </w:r>
    </w:p>
    <w:p w:rsidR="00635F38" w:rsidRDefault="00635F38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635F38" w:rsidRDefault="00635F38">
      <w:pPr>
        <w:pStyle w:val="ConsPlusNormal"/>
        <w:jc w:val="both"/>
      </w:pPr>
      <w:r>
        <w:t>Официальный интернет-портал правовой информации http://www.pravo.gov.ru, 07.05.2018,</w:t>
      </w:r>
    </w:p>
    <w:p w:rsidR="00635F38" w:rsidRDefault="00635F38">
      <w:pPr>
        <w:pStyle w:val="ConsPlusNormal"/>
        <w:jc w:val="both"/>
      </w:pPr>
      <w:r>
        <w:t>"Российская газета", N 97с, 09.05.2018,</w:t>
      </w:r>
    </w:p>
    <w:p w:rsidR="00635F38" w:rsidRDefault="00635F38">
      <w:pPr>
        <w:pStyle w:val="ConsPlusNormal"/>
        <w:jc w:val="both"/>
      </w:pPr>
      <w:r>
        <w:t>"Собрание законодательства РФ", 14.05.2018, N 20, ст. 2817.</w:t>
      </w:r>
    </w:p>
    <w:p w:rsidR="00635F38" w:rsidRDefault="00635F38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635F38" w:rsidRDefault="00635F38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635F38" w:rsidRDefault="00635F38">
      <w:pPr>
        <w:pStyle w:val="ConsPlusNormal"/>
        <w:jc w:val="both"/>
      </w:pPr>
      <w:r>
        <w:t>Начало действия редакции - 19.07.2018.</w:t>
      </w:r>
    </w:p>
    <w:p w:rsidR="00635F38" w:rsidRDefault="00635F38">
      <w:pPr>
        <w:pStyle w:val="ConsPlusNormal"/>
        <w:spacing w:before="240"/>
        <w:jc w:val="both"/>
      </w:pPr>
      <w:r>
        <w:t>Изменения, внесенные Указом Президента РФ от 19.07.2018 N 444, вступили в силу с 19 июля 2018 года.</w:t>
      </w:r>
    </w:p>
    <w:p w:rsidR="00635F38" w:rsidRDefault="00635F38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635F38" w:rsidRDefault="00635F38">
      <w:pPr>
        <w:pStyle w:val="ConsPlusNormal"/>
        <w:jc w:val="both"/>
      </w:pPr>
      <w:r>
        <w:t>Указ Президента РФ от 07.05.2018 N 204</w:t>
      </w:r>
    </w:p>
    <w:p w:rsidR="00635F38" w:rsidRDefault="00635F38">
      <w:pPr>
        <w:pStyle w:val="ConsPlusNormal"/>
        <w:jc w:val="both"/>
      </w:pPr>
      <w:r>
        <w:t>(ред. от 19.07.2018)</w:t>
      </w:r>
    </w:p>
    <w:p w:rsidR="00635F38" w:rsidRDefault="00635F38">
      <w:pPr>
        <w:pStyle w:val="ConsPlusNormal"/>
        <w:jc w:val="both"/>
      </w:pPr>
      <w:r>
        <w:t>"О национальных целях и стратегических задачах развития Российской Федерации на период до 2024 года"</w:t>
      </w:r>
    </w:p>
    <w:p w:rsidR="00635F38" w:rsidRDefault="00635F38">
      <w:pPr>
        <w:pStyle w:val="ConsPlusNormal"/>
        <w:jc w:val="both"/>
        <w:sectPr w:rsidR="00635F3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  <w:bookmarkStart w:id="0" w:name="_GoBack"/>
      <w:bookmarkEnd w:id="0"/>
    </w:p>
    <w:p w:rsidR="00635F38" w:rsidRDefault="00635F3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35F38">
        <w:tc>
          <w:tcPr>
            <w:tcW w:w="5103" w:type="dxa"/>
          </w:tcPr>
          <w:p w:rsidR="00635F38" w:rsidRDefault="00635F38">
            <w:pPr>
              <w:pStyle w:val="ConsPlusNormal"/>
            </w:pPr>
            <w:r>
              <w:t>7 мая 2018 года</w:t>
            </w:r>
          </w:p>
        </w:tc>
        <w:tc>
          <w:tcPr>
            <w:tcW w:w="5103" w:type="dxa"/>
          </w:tcPr>
          <w:p w:rsidR="00635F38" w:rsidRDefault="00635F38">
            <w:pPr>
              <w:pStyle w:val="ConsPlusNormal"/>
              <w:jc w:val="right"/>
            </w:pPr>
            <w:r>
              <w:t>N 204</w:t>
            </w:r>
          </w:p>
        </w:tc>
      </w:tr>
    </w:tbl>
    <w:p w:rsidR="00635F38" w:rsidRDefault="00635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F38" w:rsidRDefault="00635F38">
      <w:pPr>
        <w:pStyle w:val="ConsPlusNormal"/>
        <w:jc w:val="both"/>
      </w:pPr>
    </w:p>
    <w:p w:rsidR="00635F38" w:rsidRDefault="00635F38">
      <w:pPr>
        <w:pStyle w:val="ConsPlusTitle"/>
        <w:jc w:val="center"/>
      </w:pPr>
      <w:r>
        <w:t>УКАЗ</w:t>
      </w:r>
    </w:p>
    <w:p w:rsidR="00635F38" w:rsidRDefault="00635F38">
      <w:pPr>
        <w:pStyle w:val="ConsPlusTitle"/>
        <w:jc w:val="both"/>
      </w:pPr>
    </w:p>
    <w:p w:rsidR="00635F38" w:rsidRDefault="00635F38">
      <w:pPr>
        <w:pStyle w:val="ConsPlusTitle"/>
        <w:jc w:val="center"/>
      </w:pPr>
      <w:r>
        <w:t>ПРЕЗИДЕНТА РОССИЙСКОЙ ФЕДЕРАЦИИ</w:t>
      </w:r>
    </w:p>
    <w:p w:rsidR="00635F38" w:rsidRDefault="00635F38">
      <w:pPr>
        <w:pStyle w:val="ConsPlusTitle"/>
        <w:jc w:val="both"/>
      </w:pPr>
    </w:p>
    <w:p w:rsidR="00635F38" w:rsidRDefault="00635F38">
      <w:pPr>
        <w:pStyle w:val="ConsPlusTitle"/>
        <w:jc w:val="center"/>
      </w:pPr>
      <w:r>
        <w:t>О НАЦИОНАЛЬНЫХ ЦЕЛЯХ И СТРАТЕГИЧЕСКИХ ЗАДАЧАХ</w:t>
      </w:r>
    </w:p>
    <w:p w:rsidR="00635F38" w:rsidRDefault="00635F38">
      <w:pPr>
        <w:pStyle w:val="ConsPlusTitle"/>
        <w:jc w:val="center"/>
      </w:pPr>
      <w:r>
        <w:t>РАЗВИТИЯ РОССИЙСКОЙ ФЕДЕРАЦИИ НА ПЕРИОД ДО 2024 ГОДА</w:t>
      </w:r>
    </w:p>
    <w:p w:rsidR="00635F38" w:rsidRDefault="00635F3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5F3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35F38" w:rsidRDefault="00635F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5F38" w:rsidRDefault="00635F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 Президента РФ от 19.07.2018 N 444)</w:t>
            </w:r>
          </w:p>
        </w:tc>
      </w:tr>
    </w:tbl>
    <w:p w:rsidR="00635F38" w:rsidRDefault="00635F38">
      <w:pPr>
        <w:pStyle w:val="ConsPlusNormal"/>
        <w:jc w:val="both"/>
      </w:pPr>
    </w:p>
    <w:p w:rsidR="00635F38" w:rsidRDefault="00635F38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635F38" w:rsidRDefault="00635F38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г) снижение в два раза уровня бедности в Российской Федерации;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д) улучшение жилищных условий не менее 5 млн. семей ежегодно;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lastRenderedPageBreak/>
        <w:t>2. Правительству Российской Федерации: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ar14" w:tooltip="1. Правительству Российской Федерации обеспечить достижение следующих национальных целей развития Российской Федерации на период до 2024 года: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635F38" w:rsidRDefault="00635F38">
      <w:pPr>
        <w:pStyle w:val="ConsPlusNormal"/>
        <w:spacing w:before="240"/>
        <w:ind w:firstLine="540"/>
        <w:jc w:val="both"/>
      </w:pPr>
      <w:bookmarkStart w:id="2" w:name="Par26"/>
      <w:bookmarkEnd w:id="2"/>
      <w:r>
        <w:t xml:space="preserve">б) в соответствии с национальными целями, определенными </w:t>
      </w:r>
      <w:hyperlink w:anchor="Par14" w:tooltip="1. Правительству Российской Федерации обеспечить достижение следующих национальных целей развития Российской Федерации на период до 2024 года: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635F38" w:rsidRDefault="00635F38">
      <w:pPr>
        <w:pStyle w:val="ConsPlusNormal"/>
        <w:jc w:val="both"/>
      </w:pPr>
      <w:r>
        <w:t>(в ред. Указа Президента РФ от 19.07.2018 N 444)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демография;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здравоохранение;</w:t>
      </w:r>
    </w:p>
    <w:p w:rsidR="00635F38" w:rsidRDefault="00635F38">
      <w:pPr>
        <w:pStyle w:val="ConsPlusNormal"/>
        <w:spacing w:before="240"/>
        <w:ind w:firstLine="540"/>
        <w:jc w:val="both"/>
      </w:pPr>
      <w:r w:rsidRPr="0040564A">
        <w:rPr>
          <w:highlight w:val="yellow"/>
        </w:rPr>
        <w:t>образование</w:t>
      </w:r>
      <w:r>
        <w:t>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жилье и городская среда;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экология;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безопасные и качественные автомобильные дороги;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производительность труда и поддержка занятости;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наука;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цифровая экономика;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культура;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международная кооперация и экспорт.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увеличение ожидаемой продолжительности здоровой жизни до 67 лет;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увеличение суммарного коэффициента рождаемости до 1,7;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 xml:space="preserve">увеличение доли граждан, ведущих здоровый образ жизни, а также увеличение до 55 </w:t>
      </w:r>
      <w:r>
        <w:lastRenderedPageBreak/>
        <w:t>процентов доли граждан, систематически занимающихся физической культурой и спортом;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 xml:space="preserve">создание условий для осуществления трудовой деятельности женщин, имеющих детей, </w:t>
      </w:r>
      <w:r w:rsidRPr="0040564A">
        <w:rPr>
          <w:highlight w:val="yellow"/>
        </w:rPr>
        <w:t>включая достижение 100-процентной доступности (к 2021 году) дошкольного образования для детей в возрасте до трех лет;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lastRenderedPageBreak/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формирование системы защиты прав пациентов;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совершенствование механизма экспорта медицинских услуг.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а) достижение следующих целей и целевых показателей: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б) решение следующих задач: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lastRenderedPageBreak/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635F38" w:rsidRPr="00E334AF" w:rsidRDefault="00635F38">
      <w:pPr>
        <w:pStyle w:val="ConsPlusNormal"/>
        <w:spacing w:before="240"/>
        <w:ind w:firstLine="540"/>
        <w:jc w:val="both"/>
        <w:rPr>
          <w:highlight w:val="yellow"/>
        </w:rPr>
      </w:pPr>
      <w:r w:rsidRPr="00E334AF">
        <w:rPr>
          <w:highlight w:val="yellow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635F38" w:rsidRDefault="00635F38">
      <w:pPr>
        <w:pStyle w:val="ConsPlusNormal"/>
        <w:spacing w:before="240"/>
        <w:ind w:firstLine="540"/>
        <w:jc w:val="both"/>
      </w:pPr>
      <w:r w:rsidRPr="00E334AF">
        <w:rPr>
          <w:highlight w:val="yellow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 xml:space="preserve"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</w:t>
      </w:r>
      <w:r>
        <w:lastRenderedPageBreak/>
        <w:t>среды, до 30 процентов;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lastRenderedPageBreak/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635F38" w:rsidRDefault="00635F3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35F3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35F38" w:rsidRDefault="00635F3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35F38" w:rsidRDefault="00635F3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Указом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635F38" w:rsidRDefault="00635F38">
      <w:pPr>
        <w:pStyle w:val="ConsPlusNormal"/>
        <w:spacing w:before="30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lastRenderedPageBreak/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lastRenderedPageBreak/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lastRenderedPageBreak/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"Цифровая экономика Российской Федерации" обеспечить в 2024 году: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lastRenderedPageBreak/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lastRenderedPageBreak/>
        <w:t>з) подготовки кадров для организаций культуры;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lastRenderedPageBreak/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 xml:space="preserve">15. Правительству Российской Федерации на основе стратегии пространственного развития </w:t>
      </w:r>
      <w:r>
        <w:lastRenderedPageBreak/>
        <w:t>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увеличения пропускной способности внутренних водных путей;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 xml:space="preserve"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</w:t>
      </w:r>
      <w:r>
        <w:lastRenderedPageBreak/>
        <w:t>транспортной инфраструктуры;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16. Правительству Российской Федерации: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ar26" w:tooltip="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ar26" w:tooltip="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635F38" w:rsidRDefault="00635F38">
      <w:pPr>
        <w:pStyle w:val="ConsPlusNormal"/>
        <w:spacing w:before="24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635F38" w:rsidRDefault="00635F38">
      <w:pPr>
        <w:pStyle w:val="ConsPlusNormal"/>
        <w:jc w:val="both"/>
      </w:pPr>
    </w:p>
    <w:p w:rsidR="00635F38" w:rsidRDefault="00635F38">
      <w:pPr>
        <w:pStyle w:val="ConsPlusNormal"/>
        <w:jc w:val="right"/>
      </w:pPr>
      <w:r>
        <w:t>Президент</w:t>
      </w:r>
    </w:p>
    <w:p w:rsidR="00635F38" w:rsidRDefault="00635F38">
      <w:pPr>
        <w:pStyle w:val="ConsPlusNormal"/>
        <w:jc w:val="right"/>
      </w:pPr>
      <w:r>
        <w:t>Российской Федерации</w:t>
      </w:r>
    </w:p>
    <w:p w:rsidR="00635F38" w:rsidRDefault="00635F38">
      <w:pPr>
        <w:pStyle w:val="ConsPlusNormal"/>
        <w:jc w:val="right"/>
      </w:pPr>
      <w:r>
        <w:t>В.ПУТИН</w:t>
      </w:r>
    </w:p>
    <w:p w:rsidR="00635F38" w:rsidRDefault="00635F38">
      <w:pPr>
        <w:pStyle w:val="ConsPlusNormal"/>
      </w:pPr>
      <w:r>
        <w:t>Москва, Кремль</w:t>
      </w:r>
    </w:p>
    <w:p w:rsidR="00635F38" w:rsidRDefault="00635F38">
      <w:pPr>
        <w:pStyle w:val="ConsPlusNormal"/>
        <w:spacing w:before="240"/>
      </w:pPr>
      <w:r>
        <w:t>7 мая 2018 года</w:t>
      </w:r>
    </w:p>
    <w:p w:rsidR="00635F38" w:rsidRDefault="00635F38">
      <w:pPr>
        <w:pStyle w:val="ConsPlusNormal"/>
        <w:spacing w:before="240"/>
      </w:pPr>
      <w:r>
        <w:t>N 204</w:t>
      </w:r>
    </w:p>
    <w:p w:rsidR="00635F38" w:rsidRDefault="00635F38">
      <w:pPr>
        <w:pStyle w:val="ConsPlusNormal"/>
        <w:jc w:val="both"/>
      </w:pPr>
    </w:p>
    <w:p w:rsidR="00635F38" w:rsidRDefault="00635F38">
      <w:pPr>
        <w:pStyle w:val="ConsPlusNormal"/>
        <w:jc w:val="both"/>
      </w:pPr>
    </w:p>
    <w:p w:rsidR="00635F38" w:rsidRDefault="00635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5F38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38" w:rsidRDefault="00635F38">
      <w:pPr>
        <w:spacing w:after="0" w:line="240" w:lineRule="auto"/>
      </w:pPr>
      <w:r>
        <w:separator/>
      </w:r>
    </w:p>
  </w:endnote>
  <w:endnote w:type="continuationSeparator" w:id="0">
    <w:p w:rsidR="00635F38" w:rsidRDefault="0063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38" w:rsidRDefault="00635F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635F3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635F38" w:rsidRDefault="00635F3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38" w:rsidRDefault="00635F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35F3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716F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716F5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35F38" w:rsidRDefault="00635F3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38" w:rsidRDefault="00635F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35F3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716F5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716F5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35F38" w:rsidRDefault="00635F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38" w:rsidRDefault="00635F38">
      <w:pPr>
        <w:spacing w:after="0" w:line="240" w:lineRule="auto"/>
      </w:pPr>
      <w:r>
        <w:separator/>
      </w:r>
    </w:p>
  </w:footnote>
  <w:footnote w:type="continuationSeparator" w:id="0">
    <w:p w:rsidR="00635F38" w:rsidRDefault="0063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635F3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07.05.2018 N 204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  <w:t>"О национальных целях и стратегических задачах развития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center"/>
          </w:pPr>
        </w:p>
        <w:p w:rsidR="00635F38" w:rsidRDefault="00635F3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10.12.2019</w:t>
          </w:r>
        </w:p>
      </w:tc>
    </w:tr>
  </w:tbl>
  <w:p w:rsidR="00635F38" w:rsidRDefault="00635F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35F38" w:rsidRDefault="00635F3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35F3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D716F5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899920" cy="45148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5F38" w:rsidRDefault="00635F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07.05.2018 N 204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  <w:t>"О национальных целях и стратегических задачах развития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center"/>
          </w:pPr>
        </w:p>
        <w:p w:rsidR="00635F38" w:rsidRDefault="00635F3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10.12.2019</w:t>
          </w:r>
        </w:p>
      </w:tc>
    </w:tr>
  </w:tbl>
  <w:p w:rsidR="00635F38" w:rsidRDefault="00635F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35F38" w:rsidRDefault="00635F3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35F3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07.05.2018 N 204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  <w:t>"О национальных целях и стратегических задачах развития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center"/>
          </w:pPr>
        </w:p>
        <w:p w:rsidR="00635F38" w:rsidRDefault="00635F3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5F38" w:rsidRDefault="00635F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10.12.2019</w:t>
          </w:r>
        </w:p>
      </w:tc>
    </w:tr>
  </w:tbl>
  <w:p w:rsidR="00635F38" w:rsidRDefault="00635F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35F38" w:rsidRDefault="00635F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57"/>
    <w:rsid w:val="000963A9"/>
    <w:rsid w:val="0040564A"/>
    <w:rsid w:val="00530857"/>
    <w:rsid w:val="00635F38"/>
    <w:rsid w:val="00D716F5"/>
    <w:rsid w:val="00E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F69154-F0BE-4461-9517-D4839425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5423</Words>
  <Characters>30914</Characters>
  <Application>Microsoft Office Word</Application>
  <DocSecurity>2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07.05.2018 N 204(ред. от 19.07.2018)"О национальных целях и стратегических задачах развития Российской Федерации на период до 2024 года"</vt:lpstr>
    </vt:vector>
  </TitlesOfParts>
  <Company>КонсультантПлюс Версия 4018.00.50</Company>
  <LinksUpToDate>false</LinksUpToDate>
  <CharactersWithSpaces>36265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07.05.2018 N 204(ред. от 19.07.2018)"О национальных целях и стратегических задачах развития Российской Федерации на период до 2024 года"</dc:title>
  <dc:subject/>
  <dc:creator>Минислам</dc:creator>
  <cp:keywords/>
  <dc:description/>
  <cp:lastModifiedBy>Alexander</cp:lastModifiedBy>
  <cp:revision>2</cp:revision>
  <dcterms:created xsi:type="dcterms:W3CDTF">2019-12-12T11:15:00Z</dcterms:created>
  <dcterms:modified xsi:type="dcterms:W3CDTF">2019-12-12T11:15:00Z</dcterms:modified>
</cp:coreProperties>
</file>